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B4FD6" w14:textId="49394A8F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0C512850" wp14:editId="37CC344E">
            <wp:extent cx="762000" cy="762000"/>
            <wp:effectExtent l="0" t="0" r="0" b="0"/>
            <wp:docPr id="16735057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1408">
        <w:rPr>
          <w:rFonts w:ascii="Times New Roman" w:hAnsi="Times New Roman" w:cs="Times New Roman"/>
          <w:b/>
          <w:bCs/>
          <w:sz w:val="24"/>
          <w:szCs w:val="24"/>
        </w:rPr>
        <w:t>Правила работы в химической лаборатории</w:t>
      </w:r>
    </w:p>
    <w:p w14:paraId="06A28EA0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Работать одному в лаборатории категорически запрещается, так как при возникновении несчастного случая некому будет оказать помощь пострадавшему и ликвидировать последствия аварии.</w:t>
      </w:r>
    </w:p>
    <w:p w14:paraId="25464759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Перед выполнением работы необходимо познакомиться с её описанием и продумать все действия, которые необходимо будет выполнить. Если при выполнении работы используются приборы и установки, то следует изучить их устройство и правила работы с ними.</w:t>
      </w:r>
    </w:p>
    <w:p w14:paraId="142BF627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Во время работы в лаборатории необходимо соблюдать чистоту, тишину, порядок и правила техники безопасности. На лабораторном столе могут находиться только те вещества и предметы, которые необходимы для выполнения работы.</w:t>
      </w:r>
    </w:p>
    <w:p w14:paraId="758F0151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В химической лаборатории можно работать только в специальном халате. Халат должен быть застёгнут на все пуговицы. Длинные волосы необходимо подбирать (убрать в пучок или иным способом). При проведении опытов с особо опасными веществами следует использовать респиратор, защитные очки, перчатки.</w:t>
      </w:r>
    </w:p>
    <w:p w14:paraId="0A3287C0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Работы с токсичными, легковоспламеняющимися или горючими веществами необходимо проводить только в вытяжном шкафу с включённой вытяжкой.</w:t>
      </w:r>
    </w:p>
    <w:p w14:paraId="4F8E8606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В лаборатории категорически запрещается хранить продукты питания и принимать пищу.</w:t>
      </w:r>
    </w:p>
    <w:p w14:paraId="29B873A4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При выполнении опытов необходимо использовать только целую и чистую лабораторную посуду.</w:t>
      </w:r>
    </w:p>
    <w:p w14:paraId="24391DCA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На любой посуде, в которой хранятся реактивы, должны быть этикетки с указанием названия веществ.</w:t>
      </w:r>
    </w:p>
    <w:p w14:paraId="3E38A59A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Вещества не должны попадать на кожу лица и рук, так как они могут вызвать раздражение кожи и слизистых оболочек.</w:t>
      </w:r>
    </w:p>
    <w:p w14:paraId="1E35C8E8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Твёрдые химические реактивы можно брать только шпателем, пинцетом или ложечкой. Категорически запрещается брать реактивы руками!</w:t>
      </w:r>
    </w:p>
    <w:p w14:paraId="10693C75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Работу с кислотами, твёрдыми щелочами, едкими и токсичными веществами следует проводить только в защитных очках и перчатках. При растворении твёрдых щелочей в воде необходимо добавлять щёлочь небольшими порциями в воду, избегая перегревания раствора. Разбавление кислот или щелочей необходимо производить в жаростойкой посуде.</w:t>
      </w:r>
    </w:p>
    <w:p w14:paraId="3041159E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При разбавлении концентрированных кислот и щелочей необходимо небольшими порциями при постоянном перемешивании приливать кислоту (или концентрированный раствор щёлочи) в воду, а не наоборот. Растворение кислот и щелочей в воде сопровождается выделением большого количества теплоты, что может привести к закипанию смеси, её разбрызгиванию и попаданию в глаза, на лицо и руки.</w:t>
      </w:r>
    </w:p>
    <w:p w14:paraId="4BE72251" w14:textId="74082C36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20844880" wp14:editId="433A89FB">
            <wp:extent cx="2819400" cy="1409700"/>
            <wp:effectExtent l="0" t="0" r="0" b="0"/>
            <wp:docPr id="81866120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587" cy="141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C680C" w14:textId="77777777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b/>
          <w:bCs/>
          <w:sz w:val="24"/>
          <w:szCs w:val="24"/>
        </w:rPr>
        <w:t>Рис. 1.</w:t>
      </w:r>
      <w:r w:rsidRPr="00661408">
        <w:rPr>
          <w:rFonts w:ascii="Times New Roman" w:hAnsi="Times New Roman" w:cs="Times New Roman"/>
          <w:sz w:val="24"/>
          <w:szCs w:val="24"/>
        </w:rPr>
        <w:t> </w:t>
      </w:r>
      <w:r w:rsidRPr="00661408">
        <w:rPr>
          <w:rFonts w:ascii="Times New Roman" w:hAnsi="Times New Roman" w:cs="Times New Roman"/>
          <w:i/>
          <w:iCs/>
          <w:sz w:val="24"/>
          <w:szCs w:val="24"/>
        </w:rPr>
        <w:t>Правило разбавления кислот и щелочей</w:t>
      </w:r>
    </w:p>
    <w:p w14:paraId="45D08068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Жидкие химические вещества следует переливать, пользуясь воронкой. Склянку, из которой переливают жидкость, необходимо держать этикеткой к руке, чтобы не испортить надпись на ней.</w:t>
      </w:r>
    </w:p>
    <w:p w14:paraId="6ADAECEC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Категорически запрещается набирать жидкости в пипетки ртом. Для набора жидкости в пипетку используется специальная груша.</w:t>
      </w:r>
    </w:p>
    <w:p w14:paraId="6BBFFD16" w14:textId="1C4E1E2F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0DDE1C43" wp14:editId="7BCE8A55">
            <wp:extent cx="1114425" cy="1114425"/>
            <wp:effectExtent l="0" t="0" r="0" b="0"/>
            <wp:docPr id="145736184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D2FCD" w14:textId="77777777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b/>
          <w:bCs/>
          <w:sz w:val="24"/>
          <w:szCs w:val="24"/>
        </w:rPr>
        <w:t>Рис. 2.</w:t>
      </w:r>
      <w:r w:rsidRPr="00661408">
        <w:rPr>
          <w:rFonts w:ascii="Times New Roman" w:hAnsi="Times New Roman" w:cs="Times New Roman"/>
          <w:sz w:val="24"/>
          <w:szCs w:val="24"/>
        </w:rPr>
        <w:t> </w:t>
      </w:r>
      <w:r w:rsidRPr="00661408">
        <w:rPr>
          <w:rFonts w:ascii="Times New Roman" w:hAnsi="Times New Roman" w:cs="Times New Roman"/>
          <w:i/>
          <w:iCs/>
          <w:sz w:val="24"/>
          <w:szCs w:val="24"/>
        </w:rPr>
        <w:t>Пипетка</w:t>
      </w:r>
    </w:p>
    <w:p w14:paraId="74FF9A38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Неизрасходованные реактивы нельзя высыпать или выливать обратно в сосуды, из которых они были взяты.</w:t>
      </w:r>
    </w:p>
    <w:p w14:paraId="0CCC52E1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Категорически запрещается сливать в канализацию легковоспламеняющиеся и горючие жидкости, концентрированные растворы кислот и щелочей. Для их утилизации и слива используют специальные ёмкости. Категорически нельзя выбрасывать остатки неизрасходованных активных металлов, например, натрия, в канализацию или мусорное ведро — это может привести к пожару! Нельзя бросать в раковину фильтровальную бумагу, вату, стекла от разбитой посуды.</w:t>
      </w:r>
    </w:p>
    <w:p w14:paraId="15943105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Нельзя зажигать спиртовку от другой спиртовки, так как спирт может пролиться и загореться, что приведёт к возникновению пожара. Нельзя задувать пламя спиртовки. Чтобы погасить пламя, спиртовку следует закрыть колпачком.</w:t>
      </w:r>
    </w:p>
    <w:p w14:paraId="712957E4" w14:textId="0D33BA4F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CEEEDF0" wp14:editId="33684C0E">
            <wp:extent cx="2495550" cy="1247775"/>
            <wp:effectExtent l="0" t="0" r="0" b="0"/>
            <wp:docPr id="154623213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638" cy="12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DC62E" w14:textId="77777777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 </w:t>
      </w:r>
      <w:r w:rsidRPr="00661408">
        <w:rPr>
          <w:rFonts w:ascii="Times New Roman" w:hAnsi="Times New Roman" w:cs="Times New Roman"/>
          <w:b/>
          <w:bCs/>
          <w:sz w:val="24"/>
          <w:szCs w:val="24"/>
        </w:rPr>
        <w:t>Рис. 3.</w:t>
      </w:r>
      <w:r w:rsidRPr="00661408">
        <w:rPr>
          <w:rFonts w:ascii="Times New Roman" w:hAnsi="Times New Roman" w:cs="Times New Roman"/>
          <w:sz w:val="24"/>
          <w:szCs w:val="24"/>
        </w:rPr>
        <w:t> </w:t>
      </w:r>
      <w:r w:rsidRPr="00661408">
        <w:rPr>
          <w:rFonts w:ascii="Times New Roman" w:hAnsi="Times New Roman" w:cs="Times New Roman"/>
          <w:i/>
          <w:iCs/>
          <w:sz w:val="24"/>
          <w:szCs w:val="24"/>
        </w:rPr>
        <w:t>Правило работы со спиртовками</w:t>
      </w:r>
    </w:p>
    <w:p w14:paraId="4348B265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При нагревании растворов и веществ в пробирке необходимо использовать держатель. Пробирку следует заполнять не более чем на половину её объёма. Прежде чем приступить к нагреванию содержимого пробирки, её следует равномерно прогреть в пламени спиртовки. Во время нагревания жидких и твёрдых веществ в пробирках и колбах нельзя направлять отверстия сосудов на себя и на соседей, так как может произойти внезапный выброс вещества. Нельзя наклоняться над сосудом, в котором происходит нагревание или кипение жидкости.</w:t>
      </w:r>
    </w:p>
    <w:p w14:paraId="56F0A4CE" w14:textId="4281A533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 wp14:anchorId="152AE17D" wp14:editId="608041C7">
            <wp:extent cx="2409825" cy="1277207"/>
            <wp:effectExtent l="0" t="0" r="0" b="0"/>
            <wp:docPr id="54729249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641" cy="128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F640D" w14:textId="77777777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b/>
          <w:bCs/>
          <w:sz w:val="24"/>
          <w:szCs w:val="24"/>
        </w:rPr>
        <w:t>Рис. 4.</w:t>
      </w:r>
      <w:r w:rsidRPr="00661408">
        <w:rPr>
          <w:rFonts w:ascii="Times New Roman" w:hAnsi="Times New Roman" w:cs="Times New Roman"/>
          <w:sz w:val="24"/>
          <w:szCs w:val="24"/>
        </w:rPr>
        <w:t> </w:t>
      </w:r>
      <w:r w:rsidRPr="00661408">
        <w:rPr>
          <w:rFonts w:ascii="Times New Roman" w:hAnsi="Times New Roman" w:cs="Times New Roman"/>
          <w:i/>
          <w:iCs/>
          <w:sz w:val="24"/>
          <w:szCs w:val="24"/>
        </w:rPr>
        <w:t>Правило работы с пробирками</w:t>
      </w:r>
    </w:p>
    <w:p w14:paraId="42DE322C" w14:textId="77777777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 </w:t>
      </w:r>
    </w:p>
    <w:p w14:paraId="61378797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Легковоспламеняющиеся и горючие жидкости категорически нельзя нагревать на открытом пламени, так как это может привести к пожару.</w:t>
      </w:r>
    </w:p>
    <w:p w14:paraId="2A59A23E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Вещества в лаборатории категорически запрещается пробовать на вкус. Для определения запаха вещества нужно ладонью руки сделать движение от отверстия сосуда к носу и осторожно (не полной грудью!) вдохнуть.</w:t>
      </w:r>
    </w:p>
    <w:p w14:paraId="4BB1FE10" w14:textId="7C452E4F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29192EF6" wp14:editId="165BF2DA">
            <wp:extent cx="1828800" cy="1828800"/>
            <wp:effectExtent l="0" t="0" r="0" b="0"/>
            <wp:docPr id="88865392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C87FA" w14:textId="77777777" w:rsidR="00661408" w:rsidRPr="00661408" w:rsidRDefault="00661408" w:rsidP="00661408">
      <w:p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 </w:t>
      </w:r>
      <w:r w:rsidRPr="00661408">
        <w:rPr>
          <w:rFonts w:ascii="Times New Roman" w:hAnsi="Times New Roman" w:cs="Times New Roman"/>
          <w:b/>
          <w:bCs/>
          <w:sz w:val="24"/>
          <w:szCs w:val="24"/>
        </w:rPr>
        <w:t>Рис. 5.</w:t>
      </w:r>
      <w:r w:rsidRPr="00661408">
        <w:rPr>
          <w:rFonts w:ascii="Times New Roman" w:hAnsi="Times New Roman" w:cs="Times New Roman"/>
          <w:sz w:val="24"/>
          <w:szCs w:val="24"/>
        </w:rPr>
        <w:t> </w:t>
      </w:r>
      <w:r w:rsidRPr="00661408">
        <w:rPr>
          <w:rFonts w:ascii="Times New Roman" w:hAnsi="Times New Roman" w:cs="Times New Roman"/>
          <w:i/>
          <w:iCs/>
          <w:sz w:val="24"/>
          <w:szCs w:val="24"/>
        </w:rPr>
        <w:t>Правило определения запаха</w:t>
      </w:r>
    </w:p>
    <w:p w14:paraId="0CA94556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При ожоге кислотой необходимо немедленно промыть пораженное место большим количеством воды, а затем двухпроцентным раствором соды.</w:t>
      </w:r>
    </w:p>
    <w:p w14:paraId="54D59A9B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При ожоге щёлочью необходимо длительное промывание поражённого места под струёй воды, а затем однопроцентным раствором борной или уксусной кислоты.</w:t>
      </w:r>
    </w:p>
    <w:p w14:paraId="21990626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При ожоге глаз кислотой или щёлочью необходимо немедленно промыть глаза водой в течение длительного времени и в случае необходимости обратиться к врачу.</w:t>
      </w:r>
    </w:p>
    <w:p w14:paraId="068DB17B" w14:textId="77777777" w:rsidR="00661408" w:rsidRPr="00661408" w:rsidRDefault="00661408" w:rsidP="0066140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1408">
        <w:rPr>
          <w:rFonts w:ascii="Times New Roman" w:hAnsi="Times New Roman" w:cs="Times New Roman"/>
          <w:sz w:val="24"/>
          <w:szCs w:val="24"/>
        </w:rPr>
        <w:t>После завершения работы необходимо привести рабочее место в порядок, использованную лабораторную посуду следует помыть.</w:t>
      </w:r>
    </w:p>
    <w:p w14:paraId="17DDB49E" w14:textId="77777777" w:rsidR="00993244" w:rsidRPr="00661408" w:rsidRDefault="00993244">
      <w:pPr>
        <w:rPr>
          <w:rFonts w:ascii="Times New Roman" w:hAnsi="Times New Roman" w:cs="Times New Roman"/>
          <w:sz w:val="24"/>
          <w:szCs w:val="24"/>
        </w:rPr>
      </w:pPr>
    </w:p>
    <w:sectPr w:rsidR="00993244" w:rsidRPr="00661408" w:rsidSect="006614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002AD"/>
    <w:multiLevelType w:val="multilevel"/>
    <w:tmpl w:val="A2A29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0355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44"/>
    <w:rsid w:val="00661408"/>
    <w:rsid w:val="0074639D"/>
    <w:rsid w:val="0099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2DA5A-18AB-4290-9BE6-FB552773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9648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5599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742</Words>
  <Characters>4232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2025-01-11T13:56:00Z</dcterms:created>
  <dcterms:modified xsi:type="dcterms:W3CDTF">2025-01-11T13:58:00Z</dcterms:modified>
</cp:coreProperties>
</file>